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8DCC" w14:textId="57AB154B" w:rsidR="002F0F7C" w:rsidRPr="002F0F7C" w:rsidRDefault="002F0F7C" w:rsidP="002F0F7C">
      <w:pPr>
        <w:pStyle w:val="Normlnweb"/>
        <w:jc w:val="both"/>
        <w:rPr>
          <w:rFonts w:ascii="Helvetica" w:hAnsi="Helvetica"/>
          <w:b/>
          <w:bCs/>
          <w:color w:val="000000"/>
          <w:sz w:val="18"/>
          <w:szCs w:val="18"/>
        </w:rPr>
      </w:pPr>
      <w:r w:rsidRPr="002F0F7C">
        <w:rPr>
          <w:rFonts w:ascii="Helvetica" w:hAnsi="Helvetica"/>
          <w:b/>
          <w:bCs/>
          <w:color w:val="000000"/>
          <w:sz w:val="18"/>
          <w:szCs w:val="18"/>
        </w:rPr>
        <w:t xml:space="preserve">Oficiální stanovisko </w:t>
      </w:r>
      <w:r w:rsidRPr="002F0F7C">
        <w:rPr>
          <w:rFonts w:ascii="Helvetica" w:hAnsi="Helvetica"/>
          <w:b/>
          <w:bCs/>
          <w:color w:val="000000"/>
          <w:sz w:val="18"/>
          <w:szCs w:val="18"/>
        </w:rPr>
        <w:t>Sekce perinatologie a fetomaternální medicíny České gynekologické a porodnické společnosti Jana Evangelisty Purkyně</w:t>
      </w:r>
      <w:r w:rsidRPr="002F0F7C">
        <w:rPr>
          <w:rFonts w:ascii="Helvetica" w:hAnsi="Helvetica"/>
          <w:b/>
          <w:bCs/>
          <w:color w:val="000000"/>
          <w:sz w:val="18"/>
          <w:szCs w:val="18"/>
        </w:rPr>
        <w:t xml:space="preserve"> k událostem v Litoměřicích</w:t>
      </w:r>
    </w:p>
    <w:p w14:paraId="44F6BF47" w14:textId="02645D57" w:rsidR="00987D84" w:rsidRDefault="00987D84" w:rsidP="002F0F7C">
      <w:pPr>
        <w:pStyle w:val="Normlnweb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Sekce perinatologie a fetomaternální medicíny České gynekologické a porodnické společnosti Jana Evangelisty Purkyně (SPFM) vyjadřuje hlubokou soustrast rodinám, které byly zasaženy tragickou ztrátou novorozenců. Každé úmrtí dítěte je mimořádně bolestnou událostí dotýkající se rodiny i zdravotníků.</w:t>
      </w:r>
    </w:p>
    <w:p w14:paraId="4914F0BE" w14:textId="5F8FD751" w:rsidR="00987D84" w:rsidRDefault="00987D84" w:rsidP="002F0F7C">
      <w:pPr>
        <w:pStyle w:val="Normlnweb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V mediálních diskusích zaznívají různé údaje, proto považujeme za důležité uvést klíčová fakta do kontextu. </w:t>
      </w:r>
      <w:r>
        <w:rPr>
          <w:rFonts w:ascii="Helvetica" w:hAnsi="Helvetica"/>
          <w:b/>
          <w:bCs/>
          <w:color w:val="000000"/>
          <w:sz w:val="18"/>
          <w:szCs w:val="18"/>
        </w:rPr>
        <w:t>V roce 2024 se v České republice narodilo mrtvě 285 dětí, z nichž většina (73 %) se narodila předčasně, tedy před dokončeným 37. týdnem těhotenství. Podobný obraz vidíme také u úmrtí v průběhu prvních sedmi dnů po porodu – v roce 2024 zemřelo 84 novorozenců, nejčastěji v důsledku extrémní nezralosti, komplikací spojených s předčasným porodem nebo vrozených vad</w:t>
      </w:r>
      <w:r>
        <w:rPr>
          <w:rFonts w:ascii="Helvetica" w:hAnsi="Helvetica"/>
          <w:color w:val="000000"/>
          <w:sz w:val="18"/>
          <w:szCs w:val="18"/>
        </w:rPr>
        <w:t>.</w:t>
      </w:r>
      <w:r w:rsidR="002F0F7C">
        <w:rPr>
          <w:rFonts w:ascii="Helvetica" w:hAnsi="Helvetica"/>
          <w:color w:val="000000"/>
          <w:sz w:val="18"/>
          <w:szCs w:val="18"/>
        </w:rPr>
        <w:t xml:space="preserve"> Uvedená data vycházejí z validovaných celonárodních statistik Ministerstva zdravotnictví České republiky, resp. Ústavu zdravotnických informací a statistiky České republiky (Národní zdravotnický informační portál: NZIP -&gt; Národní registr reprodukčního zdraví).  </w:t>
      </w:r>
    </w:p>
    <w:p w14:paraId="2A1A18CF" w14:textId="62411481" w:rsidR="002F0F7C" w:rsidRPr="002F0F7C" w:rsidRDefault="00987D84" w:rsidP="002F0F7C">
      <w:pPr>
        <w:pStyle w:val="Normlnweb"/>
        <w:jc w:val="both"/>
        <w:rPr>
          <w:rFonts w:ascii="Helvetica" w:hAnsi="Helvetica"/>
          <w:color w:val="000000"/>
          <w:sz w:val="18"/>
          <w:szCs w:val="18"/>
        </w:rPr>
      </w:pPr>
      <w:r w:rsidRPr="00987D84">
        <w:rPr>
          <w:rFonts w:ascii="Helvetica" w:hAnsi="Helvetica"/>
          <w:color w:val="000000"/>
          <w:sz w:val="18"/>
          <w:szCs w:val="18"/>
        </w:rPr>
        <w:t>Je zároveň důležité zdůraznit, že</w:t>
      </w:r>
      <w:r w:rsidRPr="00987D84"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 w:rsidRPr="00987D84">
        <w:rPr>
          <w:rStyle w:val="Siln"/>
          <w:rFonts w:ascii="Helvetica" w:eastAsiaTheme="majorEastAsia" w:hAnsi="Helvetica"/>
          <w:color w:val="000000"/>
          <w:sz w:val="18"/>
          <w:szCs w:val="18"/>
        </w:rPr>
        <w:t>úmrtí dítěte bez vrozené vady během samotného porodu v termínu nebo na jeho bezprostřední následky je v České republice vzhledem k vysoké úrovni perinatální péče mimořádně vzácné</w:t>
      </w:r>
      <w:r w:rsidRPr="00987D84"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 w:rsidRPr="00987D84">
        <w:rPr>
          <w:rFonts w:ascii="Helvetica" w:hAnsi="Helvetica"/>
          <w:color w:val="000000"/>
          <w:sz w:val="18"/>
          <w:szCs w:val="18"/>
        </w:rPr>
        <w:t>a každoročně se jedná pouze o jednotky případů.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 w:rsidRPr="00987D84">
        <w:rPr>
          <w:rFonts w:ascii="Helvetica" w:hAnsi="Helvetica"/>
          <w:color w:val="000000"/>
          <w:sz w:val="18"/>
          <w:szCs w:val="18"/>
        </w:rPr>
        <w:t>V tomto světle je třeba konstatovat, že</w:t>
      </w:r>
      <w:r w:rsidRPr="00987D84"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 w:rsidRPr="00987D84">
        <w:rPr>
          <w:rStyle w:val="Siln"/>
          <w:rFonts w:ascii="Helvetica" w:eastAsiaTheme="majorEastAsia" w:hAnsi="Helvetica"/>
          <w:b w:val="0"/>
          <w:bCs w:val="0"/>
          <w:color w:val="000000"/>
          <w:sz w:val="18"/>
          <w:szCs w:val="18"/>
        </w:rPr>
        <w:t>výskyt dvou úmrtí novorozenců v jediný den na pracovišti s relativně nízkým počtem porodů představuje z odborného hlediska mimořádnou událost, která si zaslouží zvýšenou pozornost</w:t>
      </w:r>
      <w:r w:rsidRPr="00987D84">
        <w:rPr>
          <w:rFonts w:ascii="Helvetica" w:hAnsi="Helvetica"/>
          <w:b/>
          <w:bCs/>
          <w:color w:val="000000"/>
          <w:sz w:val="18"/>
          <w:szCs w:val="18"/>
        </w:rPr>
        <w:t>.</w:t>
      </w:r>
      <w:r>
        <w:rPr>
          <w:rFonts w:ascii="Helvetica" w:hAnsi="Helvetica"/>
          <w:b/>
          <w:bCs/>
          <w:color w:val="000000"/>
          <w:sz w:val="18"/>
          <w:szCs w:val="18"/>
        </w:rPr>
        <w:t xml:space="preserve"> </w:t>
      </w:r>
      <w:r w:rsidRPr="00987D84">
        <w:rPr>
          <w:rFonts w:ascii="Helvetica" w:hAnsi="Helvetica"/>
          <w:color w:val="000000"/>
          <w:sz w:val="18"/>
          <w:szCs w:val="18"/>
        </w:rPr>
        <w:t>Takovou situaci</w:t>
      </w:r>
      <w:r w:rsidRPr="00987D84"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 w:rsidRPr="00987D84">
        <w:rPr>
          <w:rStyle w:val="Siln"/>
          <w:rFonts w:ascii="Helvetica" w:eastAsiaTheme="majorEastAsia" w:hAnsi="Helvetica"/>
          <w:b w:val="0"/>
          <w:bCs w:val="0"/>
          <w:color w:val="000000"/>
          <w:sz w:val="18"/>
          <w:szCs w:val="18"/>
        </w:rPr>
        <w:t xml:space="preserve">nelze jednoduše přičítat </w:t>
      </w:r>
      <w:r w:rsidR="002F0F7C">
        <w:rPr>
          <w:rStyle w:val="Siln"/>
          <w:rFonts w:ascii="Helvetica" w:eastAsiaTheme="majorEastAsia" w:hAnsi="Helvetica"/>
          <w:b w:val="0"/>
          <w:bCs w:val="0"/>
          <w:color w:val="000000"/>
          <w:sz w:val="18"/>
          <w:szCs w:val="18"/>
        </w:rPr>
        <w:t>shodě nešťastných náhod</w:t>
      </w:r>
      <w:r w:rsidRPr="00987D84">
        <w:rPr>
          <w:rFonts w:ascii="Helvetica" w:hAnsi="Helvetica"/>
          <w:color w:val="000000"/>
          <w:sz w:val="18"/>
          <w:szCs w:val="18"/>
        </w:rPr>
        <w:t>; naopak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 w:rsidRPr="00987D84">
        <w:rPr>
          <w:rFonts w:ascii="Helvetica" w:hAnsi="Helvetica"/>
          <w:color w:val="000000"/>
          <w:sz w:val="18"/>
          <w:szCs w:val="18"/>
        </w:rPr>
        <w:t>představuje</w:t>
      </w:r>
      <w:r w:rsidRPr="00987D84"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 w:rsidRPr="00987D84">
        <w:rPr>
          <w:rStyle w:val="Siln"/>
          <w:rFonts w:ascii="Helvetica" w:eastAsiaTheme="majorEastAsia" w:hAnsi="Helvetica"/>
          <w:b w:val="0"/>
          <w:bCs w:val="0"/>
          <w:color w:val="000000"/>
          <w:sz w:val="18"/>
          <w:szCs w:val="18"/>
        </w:rPr>
        <w:t>indikátor potřeby důkladného, transparentního a nezávislého prověření všech okolností</w:t>
      </w:r>
      <w:r w:rsidRPr="00987D84">
        <w:rPr>
          <w:rFonts w:ascii="Helvetica" w:hAnsi="Helvetica"/>
          <w:color w:val="000000"/>
          <w:sz w:val="18"/>
          <w:szCs w:val="18"/>
        </w:rPr>
        <w:t>, které k těmto událostem vedly.</w:t>
      </w:r>
    </w:p>
    <w:p w14:paraId="02C940C7" w14:textId="77777777" w:rsidR="00987D84" w:rsidRDefault="00987D84" w:rsidP="002F0F7C">
      <w:pPr>
        <w:pStyle w:val="Normlnweb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Aktuálně medializovaný případ pochopitelně vyvolává silné emoce a obavy veřejnosti. Chceme proto společnost uklidnit tím, že podobné události jsou v našem systému skutečně velmi výjimečné. Současně však považujeme za zásadní, aby byl daný případ řádně, transparentně a nezávisle prošetřen všemi příslušnými orgány. Pouze tak lze objektivně posoudit okolnosti události a případně identifikovat oblasti pro zlepšení.</w:t>
      </w:r>
    </w:p>
    <w:p w14:paraId="7DC6D3A1" w14:textId="77777777" w:rsidR="00987D84" w:rsidRDefault="00987D84" w:rsidP="002F0F7C">
      <w:pPr>
        <w:pStyle w:val="Normlnweb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SPFM zdůrazňuje, že v době probíhajícího šetření nelze činit předčasné závěry o pochybení jednotlivců či zdravotnického zařízení. Respekt k faktům, k rodině i ke zdravotníkům je nezbytný pro férový proces i zachování důvěry veřejnosti.</w:t>
      </w:r>
    </w:p>
    <w:p w14:paraId="514F3B62" w14:textId="67A5FFDB" w:rsidR="002F0F7C" w:rsidRPr="002F0F7C" w:rsidRDefault="00987D84" w:rsidP="002F0F7C">
      <w:pPr>
        <w:pStyle w:val="Normlnweb"/>
        <w:jc w:val="both"/>
        <w:rPr>
          <w:rFonts w:ascii="Helvetica" w:hAnsi="Helvetica"/>
          <w:b/>
          <w:bCs/>
          <w:color w:val="000000"/>
          <w:sz w:val="18"/>
          <w:szCs w:val="18"/>
        </w:rPr>
      </w:pPr>
      <w:r w:rsidRPr="002F0F7C">
        <w:rPr>
          <w:rFonts w:ascii="Helvetica" w:hAnsi="Helvetica"/>
          <w:b/>
          <w:bCs/>
          <w:color w:val="000000"/>
          <w:sz w:val="18"/>
          <w:szCs w:val="18"/>
        </w:rPr>
        <w:t>SPFM je připravena poskytnout odbornou součinnost, bude-li o ni požádána, a nadále podporuje vysoké standardy kvality a bezpečí perinatální péče v České republice</w:t>
      </w:r>
      <w:r w:rsidR="002F0F7C" w:rsidRPr="002F0F7C">
        <w:rPr>
          <w:rFonts w:ascii="Helvetica" w:hAnsi="Helvetica"/>
          <w:b/>
          <w:bCs/>
          <w:color w:val="000000"/>
          <w:sz w:val="18"/>
          <w:szCs w:val="18"/>
        </w:rPr>
        <w:t>.</w:t>
      </w:r>
    </w:p>
    <w:p w14:paraId="7619FDC5" w14:textId="058E97AD" w:rsidR="002F0F7C" w:rsidRDefault="002F0F7C" w:rsidP="002F0F7C">
      <w:pPr>
        <w:pStyle w:val="Normlnweb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Česká republika dlouhodobě patří mezi země s nejnižší perinatální úmrtností na světě, což je výsledkem kvalitní a systematicky organizované péče o těhotnou ženu a novorozence.  </w:t>
      </w:r>
    </w:p>
    <w:p w14:paraId="572988E7" w14:textId="77777777" w:rsidR="00100267" w:rsidRDefault="00100267"/>
    <w:sectPr w:rsidR="0010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4"/>
    <w:rsid w:val="00031F08"/>
    <w:rsid w:val="000371F5"/>
    <w:rsid w:val="00053D59"/>
    <w:rsid w:val="000735ED"/>
    <w:rsid w:val="000801BA"/>
    <w:rsid w:val="00085C61"/>
    <w:rsid w:val="00096060"/>
    <w:rsid w:val="000C39BA"/>
    <w:rsid w:val="000F61B6"/>
    <w:rsid w:val="00100267"/>
    <w:rsid w:val="00124E80"/>
    <w:rsid w:val="00132640"/>
    <w:rsid w:val="001420DE"/>
    <w:rsid w:val="00143923"/>
    <w:rsid w:val="0014445C"/>
    <w:rsid w:val="00146F33"/>
    <w:rsid w:val="00153336"/>
    <w:rsid w:val="00157AD4"/>
    <w:rsid w:val="001631E3"/>
    <w:rsid w:val="00163A5C"/>
    <w:rsid w:val="0019621B"/>
    <w:rsid w:val="001B2637"/>
    <w:rsid w:val="001B3E25"/>
    <w:rsid w:val="001C09C9"/>
    <w:rsid w:val="001C3DBC"/>
    <w:rsid w:val="001C5DA0"/>
    <w:rsid w:val="001C75B6"/>
    <w:rsid w:val="001E6032"/>
    <w:rsid w:val="00215FD5"/>
    <w:rsid w:val="00230E8A"/>
    <w:rsid w:val="002433BF"/>
    <w:rsid w:val="00250902"/>
    <w:rsid w:val="00250AB4"/>
    <w:rsid w:val="0027149E"/>
    <w:rsid w:val="0027347D"/>
    <w:rsid w:val="00285E65"/>
    <w:rsid w:val="00286DCA"/>
    <w:rsid w:val="00293CFF"/>
    <w:rsid w:val="002968A8"/>
    <w:rsid w:val="002A7EC1"/>
    <w:rsid w:val="002D00F0"/>
    <w:rsid w:val="002D2859"/>
    <w:rsid w:val="002F0F7C"/>
    <w:rsid w:val="002F7A29"/>
    <w:rsid w:val="002F7F8B"/>
    <w:rsid w:val="003052CD"/>
    <w:rsid w:val="003064B7"/>
    <w:rsid w:val="00344392"/>
    <w:rsid w:val="0035576F"/>
    <w:rsid w:val="003753EE"/>
    <w:rsid w:val="0038158B"/>
    <w:rsid w:val="0038261F"/>
    <w:rsid w:val="0039523A"/>
    <w:rsid w:val="00397869"/>
    <w:rsid w:val="003A538B"/>
    <w:rsid w:val="003D08F3"/>
    <w:rsid w:val="003D5437"/>
    <w:rsid w:val="00414124"/>
    <w:rsid w:val="00427040"/>
    <w:rsid w:val="0043389A"/>
    <w:rsid w:val="00434A47"/>
    <w:rsid w:val="00442308"/>
    <w:rsid w:val="004733C7"/>
    <w:rsid w:val="00481565"/>
    <w:rsid w:val="00482470"/>
    <w:rsid w:val="00496800"/>
    <w:rsid w:val="004A30BD"/>
    <w:rsid w:val="004A435D"/>
    <w:rsid w:val="004F663F"/>
    <w:rsid w:val="00512356"/>
    <w:rsid w:val="00556A55"/>
    <w:rsid w:val="005945A2"/>
    <w:rsid w:val="005C688C"/>
    <w:rsid w:val="005D4CA1"/>
    <w:rsid w:val="005D6F7F"/>
    <w:rsid w:val="00602A44"/>
    <w:rsid w:val="0061106D"/>
    <w:rsid w:val="00624D47"/>
    <w:rsid w:val="00636532"/>
    <w:rsid w:val="00651509"/>
    <w:rsid w:val="006517E0"/>
    <w:rsid w:val="00651F3D"/>
    <w:rsid w:val="006755A7"/>
    <w:rsid w:val="0068661F"/>
    <w:rsid w:val="006C2B23"/>
    <w:rsid w:val="006C2E54"/>
    <w:rsid w:val="006D7580"/>
    <w:rsid w:val="00700AAE"/>
    <w:rsid w:val="00723477"/>
    <w:rsid w:val="00735267"/>
    <w:rsid w:val="0077557B"/>
    <w:rsid w:val="0078376A"/>
    <w:rsid w:val="0078382A"/>
    <w:rsid w:val="007F558B"/>
    <w:rsid w:val="00806DF1"/>
    <w:rsid w:val="0086125E"/>
    <w:rsid w:val="00872265"/>
    <w:rsid w:val="008A158B"/>
    <w:rsid w:val="008B4A04"/>
    <w:rsid w:val="008C7724"/>
    <w:rsid w:val="008E2110"/>
    <w:rsid w:val="008F1347"/>
    <w:rsid w:val="008F3614"/>
    <w:rsid w:val="009106D1"/>
    <w:rsid w:val="00923319"/>
    <w:rsid w:val="00955FCF"/>
    <w:rsid w:val="009572F9"/>
    <w:rsid w:val="009670EB"/>
    <w:rsid w:val="00970CA0"/>
    <w:rsid w:val="00983EC1"/>
    <w:rsid w:val="00987D84"/>
    <w:rsid w:val="009B2D8D"/>
    <w:rsid w:val="009C68D9"/>
    <w:rsid w:val="00A10A15"/>
    <w:rsid w:val="00A24BFC"/>
    <w:rsid w:val="00A61B23"/>
    <w:rsid w:val="00A653E5"/>
    <w:rsid w:val="00A66B14"/>
    <w:rsid w:val="00A75E96"/>
    <w:rsid w:val="00A90CB9"/>
    <w:rsid w:val="00AA4AC0"/>
    <w:rsid w:val="00AC5F37"/>
    <w:rsid w:val="00AC7A46"/>
    <w:rsid w:val="00AD6023"/>
    <w:rsid w:val="00AE6EE8"/>
    <w:rsid w:val="00B6490A"/>
    <w:rsid w:val="00B678DF"/>
    <w:rsid w:val="00B751AA"/>
    <w:rsid w:val="00B81939"/>
    <w:rsid w:val="00BA253D"/>
    <w:rsid w:val="00BB48B8"/>
    <w:rsid w:val="00BB6A8C"/>
    <w:rsid w:val="00BB71C7"/>
    <w:rsid w:val="00BF7ACC"/>
    <w:rsid w:val="00C033D1"/>
    <w:rsid w:val="00C06533"/>
    <w:rsid w:val="00C268B2"/>
    <w:rsid w:val="00C26B27"/>
    <w:rsid w:val="00C30BFF"/>
    <w:rsid w:val="00C54015"/>
    <w:rsid w:val="00C70822"/>
    <w:rsid w:val="00C9677D"/>
    <w:rsid w:val="00CA7986"/>
    <w:rsid w:val="00CB12E9"/>
    <w:rsid w:val="00CB1328"/>
    <w:rsid w:val="00CB2DA9"/>
    <w:rsid w:val="00CC5181"/>
    <w:rsid w:val="00D075CB"/>
    <w:rsid w:val="00D12C2F"/>
    <w:rsid w:val="00D17ECD"/>
    <w:rsid w:val="00D22095"/>
    <w:rsid w:val="00D40DE6"/>
    <w:rsid w:val="00D61193"/>
    <w:rsid w:val="00DA1E06"/>
    <w:rsid w:val="00DB65A6"/>
    <w:rsid w:val="00DE0703"/>
    <w:rsid w:val="00DE54C3"/>
    <w:rsid w:val="00DF342D"/>
    <w:rsid w:val="00E02757"/>
    <w:rsid w:val="00E0324B"/>
    <w:rsid w:val="00E1199D"/>
    <w:rsid w:val="00E13409"/>
    <w:rsid w:val="00E143E6"/>
    <w:rsid w:val="00E32242"/>
    <w:rsid w:val="00E37634"/>
    <w:rsid w:val="00E65C0F"/>
    <w:rsid w:val="00E758BB"/>
    <w:rsid w:val="00EB25D8"/>
    <w:rsid w:val="00EB6833"/>
    <w:rsid w:val="00EC5759"/>
    <w:rsid w:val="00ED0B04"/>
    <w:rsid w:val="00ED27D8"/>
    <w:rsid w:val="00EE5152"/>
    <w:rsid w:val="00F04CC3"/>
    <w:rsid w:val="00F61A51"/>
    <w:rsid w:val="00F734E1"/>
    <w:rsid w:val="00F75F90"/>
    <w:rsid w:val="00F92F0F"/>
    <w:rsid w:val="00FE05EE"/>
    <w:rsid w:val="00FE4DC2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923FA"/>
  <w15:chartTrackingRefBased/>
  <w15:docId w15:val="{CA42C8A5-3EA9-F94E-8706-BEBF214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D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D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D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D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D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D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7D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D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7D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D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D8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87D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987D84"/>
  </w:style>
  <w:style w:type="character" w:styleId="Siln">
    <w:name w:val="Strong"/>
    <w:basedOn w:val="Standardnpsmoodstavce"/>
    <w:uiPriority w:val="22"/>
    <w:qFormat/>
    <w:rsid w:val="00987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Kacerovský, Marian</dc:creator>
  <cp:keywords/>
  <dc:description/>
  <cp:lastModifiedBy>Kacerovský, Marian</cp:lastModifiedBy>
  <cp:revision>2</cp:revision>
  <dcterms:created xsi:type="dcterms:W3CDTF">2025-12-08T05:15:00Z</dcterms:created>
  <dcterms:modified xsi:type="dcterms:W3CDTF">2025-12-08T05:15:00Z</dcterms:modified>
</cp:coreProperties>
</file>